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73" w:rsidRDefault="00837173" w:rsidP="001554FD">
      <w:pPr>
        <w:spacing w:line="240" w:lineRule="auto"/>
        <w:rPr>
          <w:rFonts w:ascii="Arial" w:hAnsi="Arial" w:cs="Arial"/>
          <w:sz w:val="24"/>
          <w:szCs w:val="24"/>
        </w:rPr>
      </w:pPr>
    </w:p>
    <w:p w:rsidR="00837173" w:rsidRDefault="00837173" w:rsidP="00837173">
      <w:pPr>
        <w:spacing w:line="240" w:lineRule="auto"/>
        <w:jc w:val="center"/>
        <w:rPr>
          <w:rFonts w:ascii="Arial" w:hAnsi="Arial" w:cs="Arial"/>
          <w:sz w:val="28"/>
          <w:szCs w:val="28"/>
          <w:u w:val="single"/>
        </w:rPr>
      </w:pPr>
      <w:r>
        <w:rPr>
          <w:rFonts w:ascii="Arial" w:hAnsi="Arial" w:cs="Arial"/>
          <w:sz w:val="28"/>
          <w:szCs w:val="28"/>
          <w:u w:val="single"/>
        </w:rPr>
        <w:t>Thema: Eutrophierung</w:t>
      </w:r>
    </w:p>
    <w:p w:rsidR="00837173" w:rsidRDefault="00837173" w:rsidP="00DA3B28">
      <w:pPr>
        <w:spacing w:line="276" w:lineRule="auto"/>
        <w:jc w:val="both"/>
        <w:rPr>
          <w:rFonts w:ascii="Arial" w:hAnsi="Arial" w:cs="Arial"/>
          <w:sz w:val="24"/>
          <w:szCs w:val="24"/>
        </w:rPr>
      </w:pPr>
      <w:r>
        <w:rPr>
          <w:rFonts w:ascii="Arial" w:hAnsi="Arial" w:cs="Arial"/>
          <w:sz w:val="24"/>
          <w:szCs w:val="24"/>
        </w:rPr>
        <w:t>Weltweit gelangen pro Jahr 43,2 Megatonnen Stickstoff und 8,6 Megatonnen Phosphor über Flüsse in die Weltmeere. Der Eintrag dieser Nährstoffe sorgt weltweit für eine Eutrophierung der Gewässer. Seit den 1960er Jahren hat sich die Zahl der „Totzonen“ der Meeresböden in jedem Jahrzehnt verdoppelt. Diese Totzonen kommen zustande, weil sich durch die Übersättigung an Nährstoffen in der oberen Wasserzone Algenteppiche bilden, die verhindern, dass Licht i</w:t>
      </w:r>
      <w:r w:rsidR="000721DE">
        <w:rPr>
          <w:rFonts w:ascii="Arial" w:hAnsi="Arial" w:cs="Arial"/>
          <w:sz w:val="24"/>
          <w:szCs w:val="24"/>
        </w:rPr>
        <w:t>n die unteren Schichten gelangt</w:t>
      </w:r>
      <w:r>
        <w:rPr>
          <w:rFonts w:ascii="Arial" w:hAnsi="Arial" w:cs="Arial"/>
          <w:sz w:val="24"/>
          <w:szCs w:val="24"/>
        </w:rPr>
        <w:t xml:space="preserve">. </w:t>
      </w:r>
      <w:r w:rsidR="000721DE">
        <w:rPr>
          <w:rFonts w:ascii="Arial" w:hAnsi="Arial" w:cs="Arial"/>
          <w:sz w:val="24"/>
          <w:szCs w:val="24"/>
        </w:rPr>
        <w:t>Diese Teppiche sorgen auch dafür, dass am Sediment nur</w:t>
      </w:r>
      <w:r>
        <w:rPr>
          <w:rFonts w:ascii="Arial" w:hAnsi="Arial" w:cs="Arial"/>
          <w:sz w:val="24"/>
          <w:szCs w:val="24"/>
        </w:rPr>
        <w:t xml:space="preserve"> noch so wenig Sauerstoff vorhanden ist, dass Pflanzen und Tiere hier nic</w:t>
      </w:r>
      <w:r w:rsidR="00DA3B28">
        <w:rPr>
          <w:rFonts w:ascii="Arial" w:hAnsi="Arial" w:cs="Arial"/>
          <w:sz w:val="24"/>
          <w:szCs w:val="24"/>
        </w:rPr>
        <w:t>ht mehr leben können.</w:t>
      </w:r>
      <w:r w:rsidR="00DA3B28">
        <w:rPr>
          <w:rFonts w:ascii="Arial" w:hAnsi="Arial" w:cs="Arial"/>
          <w:sz w:val="24"/>
          <w:szCs w:val="24"/>
        </w:rPr>
        <w:br/>
      </w:r>
      <w:r>
        <w:rPr>
          <w:rFonts w:ascii="Arial" w:hAnsi="Arial" w:cs="Arial"/>
          <w:sz w:val="24"/>
          <w:szCs w:val="24"/>
        </w:rPr>
        <w:t xml:space="preserve"> </w:t>
      </w:r>
      <w:r>
        <w:rPr>
          <w:rFonts w:ascii="Arial" w:hAnsi="Arial" w:cs="Arial"/>
          <w:sz w:val="24"/>
          <w:szCs w:val="24"/>
        </w:rPr>
        <w:br/>
        <w:t>Auch der Verbrauch von Stickstoff- und Phosphatdünger ist laut dem Umweltbundesamt seit den 1960er Jahren um d</w:t>
      </w:r>
      <w:r w:rsidR="000964BF">
        <w:rPr>
          <w:rFonts w:ascii="Arial" w:hAnsi="Arial" w:cs="Arial"/>
          <w:sz w:val="24"/>
          <w:szCs w:val="24"/>
        </w:rPr>
        <w:t>as 9- bzw. 3-fache angestiegen.</w:t>
      </w:r>
      <w:r w:rsidR="000964BF">
        <w:rPr>
          <w:rFonts w:ascii="Arial" w:hAnsi="Arial" w:cs="Arial"/>
          <w:sz w:val="24"/>
          <w:szCs w:val="24"/>
        </w:rPr>
        <w:br/>
      </w:r>
      <w:r>
        <w:rPr>
          <w:rFonts w:ascii="Arial" w:hAnsi="Arial" w:cs="Arial"/>
          <w:sz w:val="24"/>
          <w:szCs w:val="24"/>
        </w:rPr>
        <w:t>Dieser Verbrauch soll nach Hochrechnungen noch bis zum Jahr 2050 weiter ansteigen. Das ist der ständig wachsenden Weltbevölkerung und dem damit steigenden Nahrungsmittelbedarf, aber auch dem stetig steigenden Fleischkonsum geschuldet.</w:t>
      </w:r>
      <w:r w:rsidR="000964BF">
        <w:rPr>
          <w:rFonts w:ascii="Arial" w:hAnsi="Arial" w:cs="Arial"/>
          <w:sz w:val="24"/>
          <w:szCs w:val="24"/>
        </w:rPr>
        <w:t xml:space="preserve"> Der Einsatz von Stickstoff und Phosphat auf den Feldern als Dünger sind eine der Hauptursachen der Eutrophierung von stehenden Gewässer, da bei Regen und Überschwemmungen diese Stoffe von den Feldern in die Seen transportiert werden. </w:t>
      </w:r>
    </w:p>
    <w:p w:rsidR="00DA3B28" w:rsidRDefault="00DA3B28" w:rsidP="00DA3B28">
      <w:pPr>
        <w:rPr>
          <w:rFonts w:ascii="Arial" w:hAnsi="Arial" w:cs="Arial"/>
          <w:sz w:val="24"/>
          <w:szCs w:val="24"/>
        </w:rPr>
      </w:pPr>
      <w:bookmarkStart w:id="0" w:name="_GoBack"/>
      <w:bookmarkEnd w:id="0"/>
    </w:p>
    <w:p w:rsidR="00DA3B28" w:rsidRPr="005110D1" w:rsidRDefault="00DA3B28" w:rsidP="005110D1">
      <w:pPr>
        <w:jc w:val="center"/>
        <w:rPr>
          <w:rFonts w:ascii="Arial" w:hAnsi="Arial" w:cs="Arial"/>
          <w:sz w:val="28"/>
          <w:szCs w:val="24"/>
          <w:u w:val="single"/>
        </w:rPr>
      </w:pPr>
      <w:r w:rsidRPr="005110D1">
        <w:rPr>
          <w:rFonts w:ascii="Arial" w:hAnsi="Arial" w:cs="Arial"/>
          <w:sz w:val="28"/>
          <w:szCs w:val="24"/>
          <w:u w:val="single"/>
        </w:rPr>
        <w:t>Literaturverzeichnis</w:t>
      </w:r>
    </w:p>
    <w:p w:rsidR="00DA3B28" w:rsidRPr="00CE2B8C" w:rsidRDefault="00DA3B28" w:rsidP="00DA3B28">
      <w:pPr>
        <w:spacing w:after="120" w:line="360" w:lineRule="auto"/>
        <w:ind w:left="426" w:hanging="426"/>
        <w:rPr>
          <w:rFonts w:ascii="Arial" w:eastAsia="Segoe UI" w:hAnsi="Arial" w:cs="Arial"/>
          <w:sz w:val="24"/>
          <w:szCs w:val="18"/>
          <w:lang w:eastAsia="de-DE"/>
        </w:rPr>
      </w:pPr>
      <w:r w:rsidRPr="009D0FB7">
        <w:rPr>
          <w:rFonts w:ascii="Arial" w:eastAsia="Segoe UI" w:hAnsi="Arial" w:cs="Arial"/>
          <w:bCs/>
          <w:smallCaps/>
          <w:kern w:val="32"/>
          <w:sz w:val="24"/>
          <w:szCs w:val="30"/>
          <w:lang w:eastAsia="de-DE"/>
        </w:rPr>
        <w:t>K</w:t>
      </w:r>
      <w:r w:rsidRPr="009D0FB7">
        <w:rPr>
          <w:rFonts w:ascii="Arial" w:eastAsia="Segoe UI" w:hAnsi="Arial" w:cs="Arial"/>
          <w:smallCaps/>
          <w:sz w:val="24"/>
          <w:szCs w:val="18"/>
          <w:lang w:eastAsia="de-DE"/>
        </w:rPr>
        <w:t>lapper</w:t>
      </w:r>
      <w:r w:rsidRPr="00CE2B8C">
        <w:rPr>
          <w:rFonts w:ascii="Arial" w:eastAsia="Segoe UI" w:hAnsi="Arial" w:cs="Arial"/>
          <w:sz w:val="24"/>
          <w:szCs w:val="18"/>
          <w:lang w:eastAsia="de-DE"/>
        </w:rPr>
        <w:t>, Helmut (1992): Eutrophierung und Gewässerschutz. Wassergütebewirtschaftung; Schutz und Sanierung von Binnengewässern; mit 49 Tabellen. Jena, Stuttgart: Fischer (Umweltforschung).</w:t>
      </w:r>
    </w:p>
    <w:p w:rsidR="00DA3B28" w:rsidRPr="009D0FB7" w:rsidRDefault="00DA3B28" w:rsidP="00DA3B28">
      <w:pPr>
        <w:spacing w:after="120" w:line="360" w:lineRule="auto"/>
        <w:ind w:left="426" w:hanging="426"/>
        <w:rPr>
          <w:rFonts w:ascii="Arial" w:eastAsia="Segoe UI" w:hAnsi="Arial" w:cs="Arial"/>
          <w:sz w:val="24"/>
          <w:szCs w:val="18"/>
          <w:lang w:eastAsia="de-DE"/>
        </w:rPr>
      </w:pPr>
      <w:r>
        <w:rPr>
          <w:rFonts w:ascii="Arial" w:eastAsia="Segoe UI" w:hAnsi="Arial" w:cs="Arial"/>
          <w:smallCaps/>
          <w:sz w:val="24"/>
          <w:szCs w:val="18"/>
          <w:lang w:eastAsia="de-DE"/>
        </w:rPr>
        <w:t xml:space="preserve">Scheffer, </w:t>
      </w:r>
      <w:r>
        <w:rPr>
          <w:rFonts w:ascii="Arial" w:eastAsia="Segoe UI" w:hAnsi="Arial" w:cs="Arial"/>
          <w:sz w:val="24"/>
          <w:szCs w:val="18"/>
          <w:lang w:eastAsia="de-DE"/>
        </w:rPr>
        <w:t xml:space="preserve">Fritz; </w:t>
      </w:r>
      <w:r>
        <w:rPr>
          <w:rFonts w:ascii="Arial" w:eastAsia="Segoe UI" w:hAnsi="Arial" w:cs="Arial"/>
          <w:smallCaps/>
          <w:sz w:val="24"/>
          <w:szCs w:val="18"/>
          <w:lang w:eastAsia="de-DE"/>
        </w:rPr>
        <w:t xml:space="preserve">Schachtschabel, </w:t>
      </w:r>
      <w:r>
        <w:rPr>
          <w:rFonts w:ascii="Arial" w:eastAsia="Segoe UI" w:hAnsi="Arial" w:cs="Arial"/>
          <w:sz w:val="24"/>
          <w:szCs w:val="18"/>
          <w:lang w:eastAsia="de-DE"/>
        </w:rPr>
        <w:t>Paul (2002): Lehrbuch der Bodenkunde. 15. Auflage. Heidelberg; Berlin: Spektrum, Akad. Verl.</w:t>
      </w:r>
    </w:p>
    <w:p w:rsidR="00DA3B28" w:rsidRDefault="00DA3B28" w:rsidP="00DA3B28">
      <w:pPr>
        <w:spacing w:after="120" w:line="360" w:lineRule="auto"/>
        <w:ind w:left="426" w:hanging="426"/>
        <w:rPr>
          <w:rFonts w:ascii="Arial" w:eastAsia="Segoe UI" w:hAnsi="Arial" w:cs="Arial"/>
          <w:sz w:val="24"/>
          <w:szCs w:val="18"/>
          <w:lang w:eastAsia="de-DE"/>
        </w:rPr>
      </w:pPr>
      <w:r w:rsidRPr="009D0FB7">
        <w:rPr>
          <w:rFonts w:ascii="Arial" w:eastAsia="Segoe UI" w:hAnsi="Arial" w:cs="Arial"/>
          <w:smallCaps/>
          <w:sz w:val="24"/>
          <w:szCs w:val="18"/>
          <w:lang w:eastAsia="de-DE"/>
        </w:rPr>
        <w:t>Schwoerbel</w:t>
      </w:r>
      <w:r w:rsidRPr="00CE2B8C">
        <w:rPr>
          <w:rFonts w:ascii="Arial" w:eastAsia="Segoe UI" w:hAnsi="Arial" w:cs="Arial"/>
          <w:sz w:val="24"/>
          <w:szCs w:val="18"/>
          <w:lang w:eastAsia="de-DE"/>
        </w:rPr>
        <w:t>, Jürgen; Brendelberger, Heinz (2013): Einführung in die Limnologie. 10. Auflage. Berlin, Heidelberg: Springer Spektrum.</w:t>
      </w:r>
    </w:p>
    <w:p w:rsidR="00DA3B28" w:rsidRPr="005110D1" w:rsidRDefault="00DA3B28" w:rsidP="00DA3B28">
      <w:pPr>
        <w:spacing w:after="120" w:line="360" w:lineRule="auto"/>
        <w:ind w:left="426" w:hanging="426"/>
        <w:rPr>
          <w:rFonts w:ascii="Arial" w:eastAsia="Segoe UI" w:hAnsi="Arial" w:cs="Arial"/>
          <w:b/>
          <w:sz w:val="24"/>
          <w:szCs w:val="24"/>
          <w:lang w:eastAsia="de-DE"/>
        </w:rPr>
      </w:pPr>
      <w:r w:rsidRPr="005110D1">
        <w:rPr>
          <w:rFonts w:ascii="Arial" w:eastAsia="Segoe UI" w:hAnsi="Arial" w:cs="Arial"/>
          <w:b/>
          <w:smallCaps/>
          <w:sz w:val="24"/>
          <w:szCs w:val="24"/>
          <w:lang w:eastAsia="de-DE"/>
        </w:rPr>
        <w:t>Umweltbundesamt</w:t>
      </w:r>
      <w:r w:rsidRPr="005110D1">
        <w:rPr>
          <w:rFonts w:ascii="Arial" w:eastAsia="Segoe UI" w:hAnsi="Arial" w:cs="Arial"/>
          <w:b/>
          <w:sz w:val="24"/>
          <w:szCs w:val="24"/>
          <w:lang w:eastAsia="de-DE"/>
        </w:rPr>
        <w:t xml:space="preserve"> (Hrsg.) (2013): Eutrophierung. In: Schwerpunkte 2013; Jahrespublikation</w:t>
      </w:r>
      <w:r w:rsidR="005110D1" w:rsidRPr="005110D1">
        <w:rPr>
          <w:rFonts w:ascii="Arial" w:eastAsia="Segoe UI" w:hAnsi="Arial" w:cs="Arial"/>
          <w:b/>
          <w:sz w:val="24"/>
          <w:szCs w:val="24"/>
          <w:lang w:eastAsia="de-DE"/>
        </w:rPr>
        <w:t xml:space="preserve"> des Umweltbundesamtes, S. 81-82</w:t>
      </w:r>
      <w:r w:rsidRPr="005110D1">
        <w:rPr>
          <w:rFonts w:ascii="Arial" w:eastAsia="Segoe UI" w:hAnsi="Arial" w:cs="Arial"/>
          <w:b/>
          <w:sz w:val="24"/>
          <w:szCs w:val="24"/>
          <w:lang w:eastAsia="de-DE"/>
        </w:rPr>
        <w:t>.</w:t>
      </w:r>
    </w:p>
    <w:p w:rsidR="00DA3B28" w:rsidRPr="00837173" w:rsidRDefault="00DA3B28" w:rsidP="00DA3B28">
      <w:pPr>
        <w:spacing w:line="276" w:lineRule="auto"/>
        <w:jc w:val="both"/>
        <w:rPr>
          <w:rFonts w:ascii="Arial" w:hAnsi="Arial" w:cs="Arial"/>
          <w:sz w:val="24"/>
          <w:szCs w:val="24"/>
        </w:rPr>
      </w:pPr>
    </w:p>
    <w:sectPr w:rsidR="00DA3B28" w:rsidRPr="00837173" w:rsidSect="000639F5">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71" w:rsidRDefault="00F03571" w:rsidP="00837173">
      <w:pPr>
        <w:spacing w:after="0" w:line="240" w:lineRule="auto"/>
      </w:pPr>
      <w:r>
        <w:separator/>
      </w:r>
    </w:p>
  </w:endnote>
  <w:endnote w:type="continuationSeparator" w:id="0">
    <w:p w:rsidR="00F03571" w:rsidRDefault="00F03571" w:rsidP="00837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71" w:rsidRDefault="00F03571" w:rsidP="00837173">
      <w:pPr>
        <w:spacing w:after="0" w:line="240" w:lineRule="auto"/>
      </w:pPr>
      <w:r>
        <w:separator/>
      </w:r>
    </w:p>
  </w:footnote>
  <w:footnote w:type="continuationSeparator" w:id="0">
    <w:p w:rsidR="00F03571" w:rsidRDefault="00F03571" w:rsidP="00837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3" w:rsidRDefault="00837173" w:rsidP="00837173">
    <w:pPr>
      <w:spacing w:after="0" w:line="276" w:lineRule="auto"/>
      <w:rPr>
        <w:rFonts w:ascii="Arial" w:hAnsi="Arial" w:cs="Arial"/>
        <w:sz w:val="24"/>
        <w:szCs w:val="24"/>
      </w:rPr>
    </w:pPr>
    <w:r>
      <w:rPr>
        <w:rFonts w:ascii="Arial" w:hAnsi="Arial" w:cs="Arial"/>
        <w:sz w:val="24"/>
        <w:szCs w:val="24"/>
      </w:rPr>
      <w:t>Seminar „Allgemeine physische Geographie“</w:t>
    </w:r>
  </w:p>
  <w:p w:rsidR="00837173" w:rsidRDefault="00837173" w:rsidP="00837173">
    <w:pPr>
      <w:spacing w:after="0" w:line="276" w:lineRule="auto"/>
      <w:rPr>
        <w:rFonts w:ascii="Arial" w:hAnsi="Arial" w:cs="Arial"/>
        <w:sz w:val="24"/>
        <w:szCs w:val="24"/>
      </w:rPr>
    </w:pPr>
    <w:r>
      <w:rPr>
        <w:rFonts w:ascii="Arial" w:hAnsi="Arial" w:cs="Arial"/>
        <w:sz w:val="24"/>
        <w:szCs w:val="24"/>
      </w:rPr>
      <w:t>Referent: Constantin Carras</w:t>
    </w:r>
  </w:p>
  <w:p w:rsidR="00837173" w:rsidRDefault="00837173" w:rsidP="00837173">
    <w:pPr>
      <w:spacing w:after="0" w:line="276" w:lineRule="auto"/>
      <w:rPr>
        <w:rFonts w:ascii="Arial" w:hAnsi="Arial" w:cs="Arial"/>
        <w:sz w:val="24"/>
        <w:szCs w:val="24"/>
      </w:rPr>
    </w:pPr>
    <w:r>
      <w:rPr>
        <w:rFonts w:ascii="Arial" w:hAnsi="Arial" w:cs="Arial"/>
        <w:sz w:val="24"/>
        <w:szCs w:val="24"/>
      </w:rPr>
      <w:t>07.07.2017</w:t>
    </w:r>
  </w:p>
  <w:p w:rsidR="00837173" w:rsidRPr="00837173" w:rsidRDefault="00837173" w:rsidP="0083717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554FD"/>
    <w:rsid w:val="0006381D"/>
    <w:rsid w:val="000639F5"/>
    <w:rsid w:val="000721DE"/>
    <w:rsid w:val="000964BF"/>
    <w:rsid w:val="001554FD"/>
    <w:rsid w:val="001D4FC3"/>
    <w:rsid w:val="00275329"/>
    <w:rsid w:val="003538B5"/>
    <w:rsid w:val="005110D1"/>
    <w:rsid w:val="005D2865"/>
    <w:rsid w:val="006600C4"/>
    <w:rsid w:val="007D4DF0"/>
    <w:rsid w:val="00837173"/>
    <w:rsid w:val="00C0264D"/>
    <w:rsid w:val="00D67A7E"/>
    <w:rsid w:val="00DA3B28"/>
    <w:rsid w:val="00E17E39"/>
    <w:rsid w:val="00EE2196"/>
    <w:rsid w:val="00F035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9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71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7173"/>
  </w:style>
  <w:style w:type="paragraph" w:styleId="Fuzeile">
    <w:name w:val="footer"/>
    <w:basedOn w:val="Standard"/>
    <w:link w:val="FuzeileZchn"/>
    <w:uiPriority w:val="99"/>
    <w:unhideWhenUsed/>
    <w:rsid w:val="008371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71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dc:creator>
  <cp:lastModifiedBy>Christoph</cp:lastModifiedBy>
  <cp:revision>2</cp:revision>
  <dcterms:created xsi:type="dcterms:W3CDTF">2017-07-06T07:25:00Z</dcterms:created>
  <dcterms:modified xsi:type="dcterms:W3CDTF">2017-07-06T07:25:00Z</dcterms:modified>
</cp:coreProperties>
</file>